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3810000" cy="902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10000" cy="902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0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Минздрава России от 06.12.2021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1122н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"Об утверждении национального календаря</w:t>
        <w:br/>
        <w:t>профилактических прививок, календаря</w:t>
        <w:br/>
        <w:t>профилактических прививок по</w:t>
        <w:br/>
        <w:t>эпидемическим показаниям и порядка</w:t>
        <w:br/>
        <w:t>проведения профилактических прививок"</w:t>
        <w:br/>
        <w:t>(Зарегистрировано в Минюсте России</w:t>
        <w:br/>
        <w:t xml:space="preserve">20.12.2021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66435)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предоставлен</w:t>
      </w: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b/>
          <w:bCs/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>www.consultant.ru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308" w:right="771" w:bottom="1381" w:left="1007" w:header="880" w:footer="95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сохранения: 30.05.2023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Зарегистрировано в Минюсте России 20 декабря 2021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66435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ЗДРАВООХРАНЕНИЯ РОССИЙСКОЙ ФЕДЕРАЦИИ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6 декабря 2021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1122н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УТВЕРЖДЕНИИ НАЦИОНАЛЬНОГО КАЛЕНДАРЯ</w:t>
        <w:br/>
        <w:t>ПРОФИЛАКТИЧЕСКИХ ПРИВИВОК, КАЛЕНДАРЯ ПРОФИЛАКТИЧЕСКИХ</w:t>
        <w:br/>
        <w:t>ПРИВИВОК ПО ЭПИДЕМИЧЕСКИМ ПОКАЗАНИЯМ И ПОРЯДКА</w:t>
        <w:br/>
        <w:t>ПРОВЕДЕНИЯ ПРОФИЛАКТИЧЕСКИХ ПРИВИВОК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со статьями 1,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Федерального закона от 17 сентября 1998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157-ФЗ "Об иммунопрофилактике инфекционных болезней" (Собрание законодательства Российской Федерации, 1998,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38, ст. 4736; 2013,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48, ст. 6165),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подпунктами 5.2.93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5.2.94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5.2.94.1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пункта 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608 (Собрание законодательства Российской Федерации, 2012,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26, ст. 3526; 2014,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37, ст. 4969), приказываю: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национальный календарь профилактических прививок согласно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приложению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календарь профилактических прививок по эпидемическим показаниям согласно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приложению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порядок проведения профилактических прививок согласно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приложению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2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32115);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16 июня 2016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370н "О внесении изменений в приложения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 и 2 к приказу 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42728);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13 апреля 2017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175н "О внесении изменений в приложения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 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 к приказу 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46745);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19 февраля 2019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69н "О внесении изменения в 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 к приказу 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54089);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24 апреля 2019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243н "О внесении изменений в 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 к приказу 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55249);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14 сентября 2020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967н "О внесении изменения в 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 к приказу 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60329);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9 декабря 2020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125н" (зарегистрирован Министерством юстиции Российской Федерации 16 декабря 2020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61502);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Российской Федерации от 3 февраля 2021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125н" (зарегистрирован Министерством юстиции Российской Федерации 9 февраля 2021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62438).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Министр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60" w:line="22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М.А.МУРАШКО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572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 приказу Министерства здравоохранения Российской Федерации от 6 декабря 2021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1122н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НАЦИОНАЛЬНЫЙ КАЛЕНДАРЬ ПРОФИЛАКТИЧЕСКИХ ПРИВИВОК</w:t>
      </w:r>
      <w:r>
        <w:br w:type="page"/>
      </w:r>
    </w:p>
    <w:tbl>
      <w:tblPr>
        <w:tblOverlap w:val="never"/>
        <w:jc w:val="left"/>
        <w:tblLayout w:type="fixed"/>
      </w:tblPr>
      <w:tblGrid>
        <w:gridCol w:w="571"/>
        <w:gridCol w:w="5669"/>
        <w:gridCol w:w="2842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профилактической прививки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Новорожденные в первые 24 часа жизни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Первая вакцинация 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Новорожденные на 3 - 7 день жизни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97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Вакцинация</w:t>
              <w:tab/>
              <w:t>против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туберкулеза</w:t>
            </w:r>
          </w:p>
        </w:tc>
      </w:tr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1 месяц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Вторая вакцинация 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12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2 месяца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Третья вакцинация 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B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(группы риска)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 вакцинация против пневмококковой инфекции</w:t>
            </w:r>
          </w:p>
        </w:tc>
      </w:tr>
      <w:tr>
        <w:trPr>
          <w:trHeight w:val="10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3 месяца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  <w:tab/>
              <w:t>дифтерии,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коклюша, столбняка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полиомиелита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291" w:val="left"/>
              </w:tabs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  <w:tab/>
              <w:t>гемофильной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инфекции типа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10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4,5 месяца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  <w:tab/>
              <w:t>дифтерии,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коклюша, столбняка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Вторая вакцинация против гемофильной инфекции типа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полиомиелита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 вакцинация против пневмококковой инфекции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5669"/>
        <w:gridCol w:w="2842"/>
      </w:tblGrid>
      <w:tr>
        <w:trPr>
          <w:trHeight w:val="10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6 месяцев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3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Третья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632" w:val="left"/>
              </w:tabs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  <w:tab/>
              <w:t>дифтерии,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коклюша, столбняка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Третья вакцинация 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Третья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полиомиелита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2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Третья</w:t>
              <w:tab/>
              <w:t>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286" w:val="left"/>
              </w:tabs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  <w:tab/>
              <w:t>гемофильной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инфекции типа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10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12 месяцев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Вакцинация против кори, краснухи, эпидемического паротита</w:t>
            </w:r>
          </w:p>
        </w:tc>
      </w:tr>
      <w:tr>
        <w:trPr>
          <w:trHeight w:val="12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Четвертая вакцинация 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B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(группы риска)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15 месяцев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973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Ревакцинация</w:t>
              <w:tab/>
              <w:t>против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пневмококковой инфекции</w:t>
            </w:r>
          </w:p>
        </w:tc>
      </w:tr>
      <w:tr>
        <w:trPr>
          <w:trHeight w:val="10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18 месяцев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20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</w:t>
              <w:tab/>
              <w:t>ревакцинация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632" w:val="left"/>
              </w:tabs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  <w:tab/>
              <w:t>дифтерии,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коклюша, столбняка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25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</w:t>
              <w:tab/>
              <w:t>ревакцинация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полиомиелита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Ревакцинация против гемофильной инфекции типа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20 месяцев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25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</w:t>
              <w:tab/>
              <w:t>ревакцинация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полиомиелита</w:t>
            </w:r>
          </w:p>
        </w:tc>
      </w:tr>
      <w:tr>
        <w:trPr>
          <w:trHeight w:val="10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6 лет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Ревакцинация против кори, краснухи, эпидемического паротита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25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Третья</w:t>
              <w:tab/>
              <w:t>ревакцинация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полиомиелита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5669"/>
        <w:gridCol w:w="2842"/>
      </w:tblGrid>
      <w:tr>
        <w:trPr>
          <w:trHeight w:val="17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6 - 7 лет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18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 ревакцинация против дифтерии, столбняка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Ревакцинация против туберкулеза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14 лет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Третья ревакцинация против дифтерии, столбняка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Взрослые от 18 лет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973" w:val="left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Ревакцинация</w:t>
              <w:tab/>
              <w:t>против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дифтерии, столбняка - каждые 10 лет от момента последней ревакцинации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Дети от 1 года до 17 лет (включительно), взрослые от 18 до 55 лет, не привитые ранее 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97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Вакцинация</w:t>
              <w:tab/>
              <w:t>против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Вакцинация против краснухи, ревакцинация против краснухи</w:t>
            </w:r>
          </w:p>
        </w:tc>
      </w:tr>
      <w:tr>
        <w:trPr>
          <w:trHeight w:val="3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Вакцинация против кори, ревакцинация против кори</w:t>
            </w:r>
          </w:p>
        </w:tc>
      </w:tr>
      <w:tr>
        <w:trPr>
          <w:trHeight w:val="28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1973" w:val="left"/>
              </w:tabs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Вакцинация</w:t>
              <w:tab/>
              <w:t>против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гриппа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80" w:line="226" w:lineRule="auto"/>
        <w:ind w:left="6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570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 к приказу Министерства здравоохранения Российской Федерации от 6 декабря 2021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1122н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КАЛЕНДАРЬ</w:t>
      </w:r>
      <w:bookmarkEnd w:id="2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ПРОФИЛАКТИЧЕСКИХ ПРИВИВОК ПО ЭПИДЕМИЧЕСКИМ ПОКАЗАНИЯМ</w:t>
      </w:r>
    </w:p>
    <w:tbl>
      <w:tblPr>
        <w:tblOverlap w:val="never"/>
        <w:jc w:val="left"/>
        <w:tblLayout w:type="fixed"/>
      </w:tblPr>
      <w:tblGrid>
        <w:gridCol w:w="571"/>
        <w:gridCol w:w="2266"/>
        <w:gridCol w:w="6245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профилактической прививки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Категории граждан, подлежащих обязательной вакцинации</w:t>
            </w:r>
          </w:p>
        </w:tc>
      </w:tr>
      <w:tr>
        <w:trPr>
          <w:trHeight w:val="3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туляремии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4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4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лесозаготовке, расчистке и благоустройству леса, зон оздоровления и отдыха населения.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с живыми культурами возбудителя туляремии.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чумы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временно или постоянно находящиеся на территории природного очага, при осложнении эпизоотической и эпидемиологической обстановки. Лица, работающие с живыми культурами возбудителя чумы.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left"/>
        <w:tblLayout w:type="fixed"/>
      </w:tblPr>
      <w:tblGrid>
        <w:gridCol w:w="571"/>
        <w:gridCol w:w="2266"/>
        <w:gridCol w:w="6245"/>
      </w:tblGrid>
      <w:tr>
        <w:trPr>
          <w:trHeight w:val="30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бруцеллеза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очагах козье-овечьего типа бруцеллеза лица, выполняющие следующие работы: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4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4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убою скота, больного бруцеллезом, заготовке и переработке полученных от него мяса и мясопродуктов. Животноводы, ветеринарные работники, зоотехники в хозяйствах, энзоотичных по бруцеллезу.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с живыми культурами возбудителя бруцеллеза.</w:t>
            </w:r>
          </w:p>
        </w:tc>
      </w:tr>
      <w:tr>
        <w:trPr>
          <w:trHeight w:val="3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сибирской язвы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выполняющие следующие работы: - ветеринарные работники и другие лица, профессионально занятые предубойным содержанием скота, а также убоем, снятием шкур и разделкой туш; - сбор, хранение, транспортировка и первичная обработка сырья животного происхождения;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>
        <w:trPr>
          <w:trHeight w:val="17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бешенства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профилактической целью вакцинируют следующих лиц, имеющих высокий риск заражения бешенством: лица, работающие с "уличным" вирусом бешенства; ветеринарные работники; егеря, охотники, лесники; лица, выполняющие работы по отлову и содержанию животных.</w:t>
            </w:r>
          </w:p>
        </w:tc>
      </w:tr>
      <w:tr>
        <w:trPr>
          <w:trHeight w:val="28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лептоспироза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выполняющие следующие работы: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отлову и содержанию безнадзорных животных.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с живыми культурами возбудителя лептоспироза.</w:t>
            </w:r>
          </w:p>
        </w:tc>
      </w:tr>
      <w:tr>
        <w:trPr>
          <w:trHeight w:val="17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клещевого вирусного энцефалита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сельскохозяйственные, гидромелиоративные,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2266"/>
        <w:gridCol w:w="6245"/>
      </w:tblGrid>
      <w:tr>
        <w:trPr>
          <w:trHeight w:val="223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по лесозаготовке, расчистке и благоустройству леса, зон оздоровления и отдыха населения.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с живыми культурами возбудителя клещевого энцефалита.</w:t>
            </w:r>
          </w:p>
        </w:tc>
      </w:tr>
      <w:tr>
        <w:trPr>
          <w:trHeight w:val="25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лихорадки 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с живыми культурами возбудителей лихорадки Ку.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желтой лихорадки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>
        <w:trPr>
          <w:trHeight w:val="17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холеры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выезжающие в неблагополучные по холере страны (регионы).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>
        <w:trPr>
          <w:trHeight w:val="51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брюшного тифа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 Лица, работающие с живыми культурами возбудителей брюшного тифа.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Население, проживающее на территориях с хроническими водными эпидемиями брюшного тифа.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выезжающие в гиперэндемичные по брюшному тифу страны (регионы).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Контактные лица в очагах брюшного тифа по эпидемическим показаниям.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2266"/>
        <w:gridCol w:w="6245"/>
      </w:tblGrid>
      <w:tr>
        <w:trPr>
          <w:trHeight w:val="4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Лица, проживающие в регионах, неблагополучных по заболеваемости вирусным гепатитом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A,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Лица, выезжающие в неблагополучные страны (регионы), где регистрируется вспышечная заболеваемость вирусным гепатитом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A.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Контактные лица в очагах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 эпидемическим показаниям прививки проводятся при угрозе возникновения эпидемии или вспышки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(стихийные бедствия, крупные аварии на водопроводной и канализационной сети).</w:t>
            </w:r>
          </w:p>
        </w:tc>
      </w:tr>
      <w:tr>
        <w:trPr>
          <w:trHeight w:val="4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шигеллезов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Работники медицинских организаций (их структурных подразделений) инфекционного профиля.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занятые в сфере общественного питания и коммунального благоустройства.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>
        <w:trPr>
          <w:trHeight w:val="17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менингококковой инфекции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Дети и взрослые в очагах менингококковой инфекции, вызванной менингококками серогрупп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или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Вакцинация проводится в эндемичных регионах, а также в случае эпидемии, вызванной менингококками серогрупп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или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подлежащие призыву на военную службу.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кори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>
        <w:trPr>
          <w:trHeight w:val="10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Контактные лица из очагов заболевания, не болевшие, не привитые и не имеющие сведений о профилактических прививках против вирусного гепатита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2266"/>
        <w:gridCol w:w="6245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дифтерии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эпидемического паротита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>
        <w:trPr>
          <w:trHeight w:val="6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полиомиелита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с 3 месяцев до 15 лет при наличии достоверных данных о предшествующих прививках - однократно;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медицинские работники - однократно;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дети, прибывшие из эндемичных (неблагополучных) по полиомиелиту стран (регионов), с 3 месяцев до 15 лет;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однократно (при наличии достоверных данных о предшествующих прививках) или трехкратно (при их отсутствии);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>
        <w:trPr>
          <w:trHeight w:val="17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пневмококковой инфекции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ротавирусной инфекции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для активной вакцинации с целью профилактики заболеваний, вызываемых ротавирусами.</w:t>
            </w:r>
          </w:p>
        </w:tc>
      </w:tr>
      <w:tr>
        <w:trPr>
          <w:trHeight w:val="10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ветряной оспы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left"/>
        <w:tblLayout w:type="fixed"/>
      </w:tblPr>
      <w:tblGrid>
        <w:gridCol w:w="571"/>
        <w:gridCol w:w="2266"/>
        <w:gridCol w:w="6245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 гемофильной инфекции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Дети, не привитые на первом году жизни против гемофильной инфекции.</w:t>
            </w:r>
          </w:p>
        </w:tc>
      </w:tr>
      <w:tr>
        <w:trPr>
          <w:trHeight w:val="9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Против коронавирусной инфекции, вызываемой вирусом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SARS-CoV-2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 приоритету 1-го уровня относятся: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 в возрасте 60 лет и старше;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взрослые, работающие по отдельным профессиям и должностям: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проживающие в организациях социального обслуживания;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граждане, проживающие в городах с численностью населения 1 млн и более.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 приоритету 2-го уровня относятся: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взрослые, работающие по отдельным профессиям и должностям: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работающие вахтовым методом;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волонтеры;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военнослужащие;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работники организаций сферы предоставления услуг.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 приоритету 3-го уровня относятся: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государственные гражданские и муниципальные служащие;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подлежащие призыву на военную службу.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>
      <w:pPr>
        <w:widowControl w:val="0"/>
        <w:spacing w:after="1259" w:line="1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26" w:lineRule="auto"/>
        <w:ind w:left="572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 к приказу Министерства здравоохранения Российской Федерации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6 декабря 2021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1122н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ПРОВЕДЕНИЯ ПРОФИЛАКТИЧЕСКИХ ПРИВИВОК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1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6" w:val="left"/>
        </w:tabs>
        <w:bidi w:val="0"/>
        <w:spacing w:before="0" w:after="7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статьи 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Федерального закона от 21 ноября 2011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323-ФЗ "Об основах охраны здоровья граждан в Российской Федерации" &lt;1&gt;.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&lt;1&gt; Собрание законодательства Российской Федерации, 2011,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48, ст. 6724; 2021,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27, ст. 5159.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1" w:val="left"/>
        </w:tabs>
        <w:bidi w:val="0"/>
        <w:spacing w:before="0" w:after="7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лица, которым должны проводиться профилактические прививки, предварительно подлежат осмотру врачом (фельдшером) &lt;2&gt;.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&lt;2&gt;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здравоохранения и социального развития Российской Федерации от 23 марта 2012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23971), с изменениями, внесенными приказом Министерства здравоохранения Российской Федерации от 31 октября 2017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882н (зарегистрирован Министерством юстиции Российской Федерации 9 января 2018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49561).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1" w:val="left"/>
        </w:tabs>
        <w:bidi w:val="0"/>
        <w:spacing w:before="0" w:line="228" w:lineRule="auto"/>
        <w:ind w:left="0" w:right="0" w:firstLine="560"/>
        <w:jc w:val="both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308" w:right="771" w:bottom="1381" w:left="100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&lt;3&gt;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Абзац шестой пункта 13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303 (Собрание законодательства Российской Федерации, 2005,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21, ст. 2023).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3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изменении сроков вакцинации ее проводят по схемам, предусмотренным национальным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календарем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3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проведении вакцинации против вирусного гепатита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6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туберкулиноотрицательным детям.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5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Вакцинация против вирусного гепатита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Вакцинация против вирусного гепатита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детей, относящихся к группам риска (родившимся от матерей - носителей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HBsAg,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больных вирусным гепатитом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или перенесших вирусный гепатит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третьем триместре беременности, не имеющих результатов обследования на маркеры гепатита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потребляющих наркотические средства или психотропные вещества, из семей, в которых есть носитель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HBsAg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или больной острым вирусным гепатитом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95" w:val="left"/>
        </w:tabs>
        <w:bidi w:val="0"/>
        <w:spacing w:before="0" w:after="64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Против полиомиелита первая, вторая, третья вакцинации детям 3 месяцев, 4,5 месяцев,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F58220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надежная правовая поддержка </w:t>
      </w:r>
      <w:r>
        <w:rPr>
          <w:rStyle w:val="CharStyle8"/>
          <w:b w:val="0"/>
          <w:bCs w:val="0"/>
        </w:rPr>
        <w:t>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6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6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Вакцинация детей от 12 до 17 лет (включительно) против коронавирусной инфекции, вызываемой вирусом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SARS-CoV-2,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проводится добровольно по письменному заявлению одного из родителей (или иного законного представителя).</w:t>
      </w:r>
    </w:p>
    <w:sectPr>
      <w:headerReference w:type="default" r:id="rId11"/>
      <w:footerReference w:type="default" r:id="rId12"/>
      <w:headerReference w:type="even" r:id="rId13"/>
      <w:footerReference w:type="even" r:id="rId14"/>
      <w:footnotePr>
        <w:pos w:val="pageBottom"/>
        <w:numFmt w:val="decimal"/>
        <w:numRestart w:val="continuous"/>
      </w:footnotePr>
      <w:type w:val="continuous"/>
      <w:pgSz w:w="11900" w:h="16840"/>
      <w:pgMar w:top="1308" w:right="771" w:bottom="1381" w:left="100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9840595</wp:posOffset>
              </wp:positionV>
              <wp:extent cx="1673225" cy="28956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2.25pt;margin-top:774.85000000000002pt;width:131.75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3239135</wp:posOffset>
              </wp:positionH>
              <wp:positionV relativeFrom="page">
                <wp:posOffset>9947275</wp:posOffset>
              </wp:positionV>
              <wp:extent cx="3846830" cy="1250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68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55.05000000000001pt;margin-top:783.25pt;width:302.90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9840595</wp:posOffset>
              </wp:positionV>
              <wp:extent cx="1673225" cy="28956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52.25pt;margin-top:774.85000000000002pt;width:131.75pt;height:22.8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3239135</wp:posOffset>
              </wp:positionH>
              <wp:positionV relativeFrom="page">
                <wp:posOffset>9947275</wp:posOffset>
              </wp:positionV>
              <wp:extent cx="3846830" cy="12509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68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55.05000000000001pt;margin-top:783.25pt;width:302.90000000000003pt;height:9.84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3239135</wp:posOffset>
              </wp:positionH>
              <wp:positionV relativeFrom="page">
                <wp:posOffset>9591040</wp:posOffset>
              </wp:positionV>
              <wp:extent cx="3846830" cy="12509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68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55.05000000000001pt;margin-top:755.20000000000005pt;width:302.90000000000003pt;height:9.8499999999999996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9840595</wp:posOffset>
              </wp:positionV>
              <wp:extent cx="1673225" cy="28956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52.25pt;margin-top:774.85000000000002pt;width:131.75pt;height:22.80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3239135</wp:posOffset>
              </wp:positionH>
              <wp:positionV relativeFrom="page">
                <wp:posOffset>9947275</wp:posOffset>
              </wp:positionV>
              <wp:extent cx="3846830" cy="12509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68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55.05000000000001pt;margin-top:783.25pt;width:302.90000000000003pt;height:9.8499999999999996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379730</wp:posOffset>
              </wp:positionV>
              <wp:extent cx="2868295" cy="42672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829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Минздрава России от 06.12.2021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1122н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национального календаря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профилактических прививок, календа...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.25pt;margin-top:29.900000000000002pt;width:225.84999999999999pt;height:33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Минздрава России от 06.12.2021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1122н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национального календаря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профилактических прививок, календа...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471170</wp:posOffset>
              </wp:positionV>
              <wp:extent cx="2380615" cy="23495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67.35000000000002pt;margin-top:37.100000000000001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379730</wp:posOffset>
              </wp:positionV>
              <wp:extent cx="2868295" cy="42672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829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Минздрава России от 06.12.2021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1122н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национального календаря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профилактических прививок, календа...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2.25pt;margin-top:29.900000000000002pt;width:225.84999999999999pt;height:33.6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Минздрава России от 06.12.2021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1122н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национального календаря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профилактических прививок, календа...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471170</wp:posOffset>
              </wp:positionV>
              <wp:extent cx="2380615" cy="23495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67.35000000000002pt;margin-top:37.100000000000001pt;width:187.45000000000002pt;height:18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22860</wp:posOffset>
              </wp:positionV>
              <wp:extent cx="2868295" cy="42672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829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Минздрава России от 06.12.2021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1122н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национального календаря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профилактических прививок, календа...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2.25pt;margin-top:1.8pt;width:225.84999999999999pt;height:33.6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Минздрава России от 06.12.2021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1122н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национального календаря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профилактических прививок, календа...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114300</wp:posOffset>
              </wp:positionV>
              <wp:extent cx="2380615" cy="23495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367.35000000000002pt;margin-top:9.pt;width:187.45000000000002pt;height:18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379730</wp:posOffset>
              </wp:positionV>
              <wp:extent cx="2868295" cy="42672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829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Минздрава России от 06.12.2021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1122н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национального календаря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профилактических прививок, календа...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2.25pt;margin-top:29.900000000000002pt;width:225.84999999999999pt;height:33.60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Минздрава России от 06.12.2021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1122н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национального календаря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профилактических прививок, календа...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471170</wp:posOffset>
              </wp:positionV>
              <wp:extent cx="2380615" cy="23495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30.05.2023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367.35000000000002pt;margin-top:37.100000000000001pt;width:187.45000000000002pt;height:18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30.05.2023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Основной текст (4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Основной текст (2)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Заголовок №1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Другое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Основной текст (5)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2020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Основной текст (4)"/>
    <w:basedOn w:val="Normal"/>
    <w:link w:val="CharStyle5"/>
    <w:pPr>
      <w:widowControl w:val="0"/>
      <w:shd w:val="clear" w:color="auto" w:fill="auto"/>
      <w:spacing w:after="160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auto"/>
      <w:spacing w:after="200" w:line="22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auto"/>
      <w:spacing w:after="110" w:line="228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3">
    <w:name w:val="Другое"/>
    <w:basedOn w:val="Normal"/>
    <w:link w:val="CharStyle24"/>
    <w:pPr>
      <w:widowControl w:val="0"/>
      <w:shd w:val="clear" w:color="auto" w:fill="auto"/>
      <w:spacing w:line="22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auto"/>
      <w:spacing w:after="200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Приказ Минздрава России от 06.12.2021 N 1122н
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
(Зарегистрировано в Минюсте России 20.12.2021 N 66435)</dc:title>
  <dc:subject/>
  <dc:creator/>
  <cp:keywords/>
</cp:coreProperties>
</file>